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90DF7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Комитета финансов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890DF7">
        <w:rPr>
          <w:rFonts w:ascii="Times New Roman" w:hAnsi="Times New Roman" w:cs="Times New Roman"/>
          <w:sz w:val="28"/>
          <w:szCs w:val="28"/>
        </w:rPr>
        <w:t>14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90DF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Курска на 2023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90DF7">
        <w:rPr>
          <w:rFonts w:ascii="Times New Roman" w:hAnsi="Times New Roman" w:cs="Times New Roman"/>
          <w:sz w:val="28"/>
        </w:rPr>
        <w:t xml:space="preserve">Комитет финансов </w:t>
      </w:r>
      <w:r w:rsidR="0081405D">
        <w:rPr>
          <w:rFonts w:ascii="Times New Roman" w:hAnsi="Times New Roman" w:cs="Times New Roman"/>
          <w:sz w:val="28"/>
        </w:rPr>
        <w:t>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90DF7" w:rsidP="0095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финансов</w:t>
            </w:r>
            <w:r w:rsidR="0081405D">
              <w:rPr>
                <w:rFonts w:ascii="Times New Roman" w:hAnsi="Times New Roman" w:cs="Times New Roman"/>
                <w:sz w:val="28"/>
              </w:rPr>
              <w:t xml:space="preserve">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4116" w:rsidRPr="00E75C7D" w:rsidRDefault="00734116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Бюджетная отчетность </w:t>
      </w:r>
      <w:r w:rsidR="00890DF7"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Комитета финансов </w:t>
      </w:r>
      <w:r w:rsidRPr="00E75C7D">
        <w:rPr>
          <w:rFonts w:ascii="Times New Roman" w:hAnsi="Times New Roman" w:cs="Times New Roman"/>
          <w:spacing w:val="-6"/>
          <w:sz w:val="28"/>
          <w:szCs w:val="28"/>
        </w:rPr>
        <w:t>города Курска</w:t>
      </w:r>
      <w:r w:rsidR="00890DF7"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 (далее – комитет финансов)</w:t>
      </w:r>
      <w:r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 за 2022 год: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C7D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Субсидии унитарным предприятиям и иным юридическим лицам комитетом финансов в 2022 году не предоставлялись.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E75C7D" w:rsidRPr="00E75C7D" w:rsidRDefault="00E75C7D" w:rsidP="00E7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Pr="00E75C7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составления, представления и утверждения бюджетной отчетности, установленной Минфином России, а также ведомственным (внутренним) актам, принятым в соответствии с </w:t>
      </w:r>
      <w:hyperlink r:id="rId6" w:history="1">
        <w:r w:rsidRPr="00E75C7D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E75C7D">
        <w:rPr>
          <w:rFonts w:ascii="Times New Roman" w:hAnsi="Times New Roman" w:cs="Times New Roman"/>
          <w:sz w:val="28"/>
          <w:szCs w:val="28"/>
        </w:rPr>
        <w:t xml:space="preserve"> БК РФ, в комитете финансов проводится внутренний финансовый аудит (далее – ВФА).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в Администрации города Курска организован в соответствии со Стандартами ВФА и Положением о ВФА.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 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C7D">
        <w:rPr>
          <w:rFonts w:ascii="Times New Roman" w:hAnsi="Times New Roman" w:cs="Times New Roman"/>
          <w:snapToGrid w:val="0"/>
          <w:sz w:val="28"/>
          <w:szCs w:val="28"/>
        </w:rPr>
        <w:t xml:space="preserve">Комитет финансов наделен полномочиями главного администратора доходов бюджета города Курска на 2022 год. Общая сумма поступлений по закрепленным доходным источникам составила 13221154,7 тыс.рублей или 101,7% от плановых назначений (12998664,752 тыс.рублей), в том числе прочие доходы от компенсации затрат бюджетов городских округов 3020,2 тыс.рублей, штрафа, санкции, возмещение ущерба 0,3 </w:t>
      </w:r>
      <w:proofErr w:type="spellStart"/>
      <w:r w:rsidRPr="00E75C7D">
        <w:rPr>
          <w:rFonts w:ascii="Times New Roman" w:hAnsi="Times New Roman" w:cs="Times New Roman"/>
          <w:snapToGrid w:val="0"/>
          <w:sz w:val="28"/>
          <w:szCs w:val="28"/>
        </w:rPr>
        <w:t>ты.рублей</w:t>
      </w:r>
      <w:proofErr w:type="spellEnd"/>
      <w:r w:rsidRPr="00E75C7D">
        <w:rPr>
          <w:rFonts w:ascii="Times New Roman" w:hAnsi="Times New Roman" w:cs="Times New Roman"/>
          <w:snapToGrid w:val="0"/>
          <w:sz w:val="28"/>
          <w:szCs w:val="28"/>
        </w:rPr>
        <w:t xml:space="preserve">, невыясненные поступления, зачисляемые в бюджеты городских округов 17,3 тыс.рублей, безвозмездные поступления 13218116,9 тыс.рублей. 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538135"/>
          <w:sz w:val="28"/>
          <w:szCs w:val="28"/>
        </w:rPr>
      </w:pPr>
      <w:r w:rsidRPr="00E75C7D">
        <w:rPr>
          <w:rFonts w:ascii="Times New Roman" w:hAnsi="Times New Roman" w:cs="Times New Roman"/>
          <w:snapToGrid w:val="0"/>
          <w:sz w:val="28"/>
          <w:szCs w:val="28"/>
        </w:rPr>
        <w:t xml:space="preserve">В 2022 году комитетом финансов осуществлены расходы в размере 161393,92 тыс.рублей или 77,3% от уточненных плановых назначений (208855,67 тыс.рублей). Все расходы комитета финансов представлены расходами, осуществляемыми в рамках реализации 2 муниципальных программ. </w:t>
      </w:r>
      <w:r w:rsidRPr="00E75C7D">
        <w:rPr>
          <w:rFonts w:ascii="Times New Roman" w:hAnsi="Times New Roman" w:cs="Times New Roman"/>
          <w:snapToGrid w:val="0"/>
          <w:color w:val="538135"/>
          <w:sz w:val="28"/>
          <w:szCs w:val="28"/>
        </w:rPr>
        <w:t xml:space="preserve"> 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По состоянию на 01.01.2023 дебиторская задолженность по доходам составила 23777581,810 тыс.рублей (в </w:t>
      </w:r>
      <w:proofErr w:type="spellStart"/>
      <w:r w:rsidRPr="00E75C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75C7D">
        <w:rPr>
          <w:rFonts w:ascii="Times New Roman" w:hAnsi="Times New Roman" w:cs="Times New Roman"/>
          <w:sz w:val="28"/>
          <w:szCs w:val="28"/>
        </w:rPr>
        <w:t>. доходы будущих периодов), по расходам 6,468 тыс.рублей, кредиторская задолженность по доходам составила 2611688,78 тыс.рублей, по расходам кредиторская задолженность составляет 195,655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  <w:bookmarkStart w:id="1" w:name="_GoBack"/>
      <w:bookmarkEnd w:id="1"/>
    </w:p>
    <w:sectPr w:rsidR="00813B70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302D38"/>
    <w:rsid w:val="003F7A52"/>
    <w:rsid w:val="004D376B"/>
    <w:rsid w:val="00565B79"/>
    <w:rsid w:val="00734116"/>
    <w:rsid w:val="00813B70"/>
    <w:rsid w:val="0081405D"/>
    <w:rsid w:val="00873C9D"/>
    <w:rsid w:val="00890DF7"/>
    <w:rsid w:val="009530D4"/>
    <w:rsid w:val="00970B1E"/>
    <w:rsid w:val="00B01F3D"/>
    <w:rsid w:val="00BA3103"/>
    <w:rsid w:val="00C27C89"/>
    <w:rsid w:val="00D26A67"/>
    <w:rsid w:val="00E51412"/>
    <w:rsid w:val="00E75C7D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6</cp:revision>
  <dcterms:created xsi:type="dcterms:W3CDTF">2023-03-17T09:56:00Z</dcterms:created>
  <dcterms:modified xsi:type="dcterms:W3CDTF">2023-03-20T13:53:00Z</dcterms:modified>
</cp:coreProperties>
</file>